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1" w:rsidRPr="00BB0631" w:rsidRDefault="0013799A" w:rsidP="00BB0631">
      <w:pPr>
        <w:jc w:val="center"/>
        <w:rPr>
          <w:b/>
          <w:u w:val="single"/>
        </w:rPr>
      </w:pPr>
      <w:r w:rsidRPr="00BB0631">
        <w:rPr>
          <w:b/>
          <w:u w:val="single"/>
        </w:rPr>
        <w:t>School Based Health Floor Stock Medication</w:t>
      </w:r>
    </w:p>
    <w:p w:rsidR="0013799A" w:rsidRDefault="0013799A" w:rsidP="00BB0631">
      <w:pPr>
        <w:pStyle w:val="NoSpacing"/>
      </w:pPr>
      <w:r>
        <w:t>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13799A" w:rsidTr="0013799A"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>Eye Wash 4oz</w:t>
            </w:r>
          </w:p>
        </w:tc>
      </w:tr>
      <w:tr w:rsidR="0013799A" w:rsidTr="0013799A"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>Hydrogen peroxide</w:t>
            </w:r>
          </w:p>
        </w:tc>
      </w:tr>
      <w:tr w:rsidR="0013799A" w:rsidTr="0013799A"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>Acetaminophen solution 160 mg per 5ml</w:t>
            </w:r>
          </w:p>
        </w:tc>
      </w:tr>
      <w:tr w:rsidR="0013799A" w:rsidTr="0013799A"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>Motrin Oral Suspension 100mg/5ml</w:t>
            </w:r>
          </w:p>
        </w:tc>
      </w:tr>
      <w:tr w:rsidR="0013799A" w:rsidTr="0013799A"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>Benadryl Oral Solution 118ml</w:t>
            </w:r>
          </w:p>
        </w:tc>
      </w:tr>
      <w:tr w:rsidR="0013799A" w:rsidTr="0013799A"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>Bacitracin Ointment 28gms</w:t>
            </w:r>
          </w:p>
        </w:tc>
      </w:tr>
      <w:tr w:rsidR="0013799A" w:rsidTr="0013799A"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>Albuterol Sulfate 0.083%</w:t>
            </w:r>
          </w:p>
        </w:tc>
      </w:tr>
      <w:tr w:rsidR="0013799A" w:rsidTr="0013799A">
        <w:trPr>
          <w:trHeight w:val="341"/>
        </w:trPr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>Acetaminophen 325 mg</w:t>
            </w:r>
          </w:p>
        </w:tc>
      </w:tr>
      <w:tr w:rsidR="0013799A" w:rsidTr="0013799A"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>Aspirin 325 mg</w:t>
            </w:r>
          </w:p>
        </w:tc>
      </w:tr>
      <w:tr w:rsidR="0013799A" w:rsidTr="0013799A">
        <w:trPr>
          <w:trHeight w:val="341"/>
        </w:trPr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>Benadryl 25mg</w:t>
            </w:r>
          </w:p>
        </w:tc>
      </w:tr>
      <w:tr w:rsidR="0013799A" w:rsidTr="0013799A">
        <w:trPr>
          <w:trHeight w:val="341"/>
        </w:trPr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>Ibuprofen 200mg</w:t>
            </w:r>
          </w:p>
        </w:tc>
      </w:tr>
      <w:tr w:rsidR="0013799A" w:rsidTr="0013799A">
        <w:trPr>
          <w:trHeight w:val="341"/>
        </w:trPr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 xml:space="preserve">Prednisone 20mg </w:t>
            </w:r>
            <w:r w:rsidRPr="0013799A">
              <w:rPr>
                <w:i/>
                <w:color w:val="FF0000"/>
              </w:rPr>
              <w:t>*Prednisolone*</w:t>
            </w:r>
          </w:p>
        </w:tc>
      </w:tr>
      <w:tr w:rsidR="0013799A" w:rsidTr="0013799A">
        <w:trPr>
          <w:trHeight w:val="341"/>
        </w:trPr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 xml:space="preserve">Prednisone liquid 15mg/5ml   </w:t>
            </w:r>
            <w:r w:rsidRPr="0013799A">
              <w:rPr>
                <w:i/>
                <w:color w:val="FF0000"/>
              </w:rPr>
              <w:t>*Prednisolone*</w:t>
            </w:r>
          </w:p>
        </w:tc>
      </w:tr>
      <w:tr w:rsidR="0013799A" w:rsidTr="0013799A">
        <w:trPr>
          <w:trHeight w:val="341"/>
        </w:trPr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>Tylenol 500mg</w:t>
            </w:r>
          </w:p>
        </w:tc>
      </w:tr>
      <w:tr w:rsidR="0013799A" w:rsidTr="0013799A">
        <w:trPr>
          <w:trHeight w:val="341"/>
        </w:trPr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13799A" w:rsidP="00BB0631">
            <w:pPr>
              <w:pStyle w:val="NoSpacing"/>
            </w:pPr>
            <w:r>
              <w:t xml:space="preserve">Prednisolone          </w:t>
            </w:r>
            <w:r w:rsidRPr="00BB0631">
              <w:rPr>
                <w:i/>
                <w:color w:val="FF0000"/>
              </w:rPr>
              <w:t>*Prednisone*</w:t>
            </w:r>
          </w:p>
        </w:tc>
      </w:tr>
    </w:tbl>
    <w:p w:rsidR="00BB0631" w:rsidRPr="00BB0631" w:rsidRDefault="00BB0631" w:rsidP="00BB0631">
      <w:pPr>
        <w:pStyle w:val="NoSpacing"/>
        <w:rPr>
          <w:sz w:val="12"/>
          <w:szCs w:val="12"/>
        </w:rPr>
      </w:pPr>
    </w:p>
    <w:p w:rsidR="0013799A" w:rsidRDefault="0013799A" w:rsidP="00BB0631">
      <w:pPr>
        <w:pStyle w:val="NoSpacing"/>
      </w:pPr>
      <w:r>
        <w:t>Emergency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13799A" w:rsidTr="0013799A"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BB0631" w:rsidP="00BB0631">
            <w:pPr>
              <w:pStyle w:val="NoSpacing"/>
            </w:pPr>
            <w:r>
              <w:t xml:space="preserve">Epi Pen ADULT 0.3mg      </w:t>
            </w:r>
            <w:r w:rsidRPr="00BB0631">
              <w:rPr>
                <w:i/>
                <w:color w:val="FF0000"/>
              </w:rPr>
              <w:t>(High alert)</w:t>
            </w:r>
          </w:p>
        </w:tc>
      </w:tr>
      <w:tr w:rsidR="0013799A" w:rsidTr="0013799A">
        <w:tc>
          <w:tcPr>
            <w:tcW w:w="828" w:type="dxa"/>
          </w:tcPr>
          <w:p w:rsidR="0013799A" w:rsidRDefault="0013799A" w:rsidP="00BB0631">
            <w:pPr>
              <w:pStyle w:val="NoSpacing"/>
            </w:pPr>
          </w:p>
        </w:tc>
        <w:tc>
          <w:tcPr>
            <w:tcW w:w="8748" w:type="dxa"/>
          </w:tcPr>
          <w:p w:rsidR="0013799A" w:rsidRDefault="00BB0631" w:rsidP="00BB0631">
            <w:pPr>
              <w:pStyle w:val="NoSpacing"/>
            </w:pPr>
            <w:r>
              <w:t xml:space="preserve">Epi Pen PEDS  0.15mg     </w:t>
            </w:r>
            <w:r w:rsidRPr="00BB0631">
              <w:rPr>
                <w:i/>
                <w:color w:val="FF0000"/>
              </w:rPr>
              <w:t>(High alert)</w:t>
            </w:r>
          </w:p>
        </w:tc>
      </w:tr>
    </w:tbl>
    <w:p w:rsidR="00BB0631" w:rsidRDefault="00BB0631" w:rsidP="00BB0631">
      <w:pPr>
        <w:pStyle w:val="NoSpacing"/>
      </w:pPr>
    </w:p>
    <w:p w:rsidR="00BB0631" w:rsidRDefault="00BB0631" w:rsidP="00BB0631">
      <w:pPr>
        <w:pStyle w:val="NoSpacing"/>
      </w:pPr>
      <w:r>
        <w:t>Vaccines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>Prevnar (PVC13) (Pnneumococcal)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proofErr w:type="spellStart"/>
            <w:r>
              <w:t>Dtap</w:t>
            </w:r>
            <w:proofErr w:type="spellEnd"/>
            <w:r>
              <w:t xml:space="preserve"> (</w:t>
            </w:r>
            <w:r w:rsidR="00E11620">
              <w:t>Diphtheria</w:t>
            </w:r>
            <w:r>
              <w:t xml:space="preserve"> &amp; tetanus toxoids &amp; Accelular Pertussis)  </w:t>
            </w:r>
            <w:r w:rsidRPr="00BB0631">
              <w:rPr>
                <w:i/>
                <w:color w:val="FF0000"/>
              </w:rPr>
              <w:t xml:space="preserve">   *Tdap*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 xml:space="preserve">TD (Tetanus &amp; </w:t>
            </w:r>
            <w:r w:rsidR="00E11620">
              <w:t>Diphtheria</w:t>
            </w:r>
            <w:r>
              <w:t xml:space="preserve"> age 7 years and up)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>Boostrix (ages 10-64)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>Pediarix (Hep B, Polio, Dtap)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>Pentacel (HIB, Polio, Dtap)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>Energix B (Recombivax HB)</w:t>
            </w:r>
            <w:bookmarkStart w:id="0" w:name="_GoBack"/>
            <w:bookmarkEnd w:id="0"/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 xml:space="preserve">Menactra (Meningococcal ages 11 and up) 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>MMR (Measles, Mumps, and Ruebella)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>Varicella</w:t>
            </w:r>
          </w:p>
        </w:tc>
      </w:tr>
      <w:tr w:rsidR="00BB0631" w:rsidTr="00BB0631">
        <w:trPr>
          <w:trHeight w:val="323"/>
        </w:trPr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>Ipol (polio)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>Influenza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>HPV (</w:t>
            </w:r>
            <w:r w:rsidR="00E11620">
              <w:t>Gardasil</w:t>
            </w:r>
            <w:r>
              <w:t xml:space="preserve"> ages 9-26)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>HIB</w:t>
            </w:r>
          </w:p>
        </w:tc>
      </w:tr>
    </w:tbl>
    <w:p w:rsidR="00BB0631" w:rsidRDefault="00BB0631" w:rsidP="00BB0631">
      <w:pPr>
        <w:pStyle w:val="NoSpacing"/>
      </w:pPr>
    </w:p>
    <w:p w:rsidR="00BB0631" w:rsidRDefault="00BB0631" w:rsidP="00BB0631">
      <w:pPr>
        <w:pStyle w:val="NoSpacing"/>
      </w:pPr>
      <w:r>
        <w:t>Needles and Syringes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>3cc syringes   Box  _______  Exp. date _______  Count __________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>Other syringes   Box  _______     Exp. Date ______     Count _________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 xml:space="preserve">Needles 25 x 5/8      </w:t>
            </w:r>
            <w:r>
              <w:t>Box  _______     Exp. Date ______     Count _________</w:t>
            </w:r>
          </w:p>
        </w:tc>
      </w:tr>
      <w:tr w:rsidR="00BB0631" w:rsidTr="00BB0631">
        <w:tc>
          <w:tcPr>
            <w:tcW w:w="828" w:type="dxa"/>
          </w:tcPr>
          <w:p w:rsidR="00BB0631" w:rsidRDefault="00BB0631" w:rsidP="00BB0631">
            <w:pPr>
              <w:pStyle w:val="NoSpacing"/>
            </w:pPr>
          </w:p>
        </w:tc>
        <w:tc>
          <w:tcPr>
            <w:tcW w:w="8748" w:type="dxa"/>
          </w:tcPr>
          <w:p w:rsidR="00BB0631" w:rsidRDefault="00BB0631" w:rsidP="00BB0631">
            <w:pPr>
              <w:pStyle w:val="NoSpacing"/>
            </w:pPr>
            <w:r>
              <w:t xml:space="preserve">Needles 25 x 1 </w:t>
            </w:r>
            <w:r>
              <w:t>Box  _______     Exp. Date ______     Count _________</w:t>
            </w:r>
          </w:p>
        </w:tc>
      </w:tr>
    </w:tbl>
    <w:p w:rsidR="00BB0631" w:rsidRDefault="00BB0631" w:rsidP="00BB0631">
      <w:pPr>
        <w:pStyle w:val="NoSpacing"/>
      </w:pPr>
    </w:p>
    <w:p w:rsidR="00BB0631" w:rsidRDefault="00BB0631" w:rsidP="00BB0631">
      <w:pPr>
        <w:pStyle w:val="NoSpacing"/>
        <w:numPr>
          <w:ilvl w:val="0"/>
          <w:numId w:val="4"/>
        </w:numPr>
      </w:pPr>
      <w:r>
        <w:t>*Indicates a look alike sound alike medication.</w:t>
      </w:r>
    </w:p>
    <w:p w:rsidR="00B55A07" w:rsidRDefault="00B55A07" w:rsidP="00BB0631">
      <w:pPr>
        <w:pStyle w:val="NoSpacing"/>
      </w:pPr>
    </w:p>
    <w:p w:rsidR="00B55A07" w:rsidRDefault="00B55A07" w:rsidP="00BB0631">
      <w:pPr>
        <w:pStyle w:val="NoSpacing"/>
      </w:pPr>
    </w:p>
    <w:p w:rsidR="00BB0631" w:rsidRDefault="00BB0631" w:rsidP="00BB0631">
      <w:pPr>
        <w:pStyle w:val="NoSpacing"/>
      </w:pPr>
      <w:r>
        <w:t xml:space="preserve">I attest that all of the Floor Stock Medications as outlined above are accurate and up to date. All medications/supplies have been checked for expiration and medication have been </w:t>
      </w:r>
      <w:r w:rsidR="00E11620">
        <w:t>properly</w:t>
      </w:r>
      <w:r>
        <w:t xml:space="preserve"> disposed of </w:t>
      </w:r>
      <w:r w:rsidR="00B55A07">
        <w:t>if outdated or due to be outdated prior to the next review as outlined in the Medication Management Plan. Replacement stock has been ordered for all outdated, disposed medication.</w:t>
      </w:r>
    </w:p>
    <w:p w:rsidR="00B55A07" w:rsidRDefault="00B55A07" w:rsidP="00BB0631">
      <w:pPr>
        <w:pStyle w:val="NoSpacing"/>
      </w:pPr>
    </w:p>
    <w:p w:rsidR="00B55A07" w:rsidRDefault="00B55A07" w:rsidP="00BB0631">
      <w:pPr>
        <w:pStyle w:val="NoSpacing"/>
      </w:pPr>
    </w:p>
    <w:p w:rsidR="00B55A07" w:rsidRDefault="00B55A07" w:rsidP="00BB0631">
      <w:pPr>
        <w:pStyle w:val="NoSpacing"/>
      </w:pPr>
    </w:p>
    <w:p w:rsidR="00B55A07" w:rsidRDefault="00B55A07" w:rsidP="00BB0631">
      <w:pPr>
        <w:pStyle w:val="NoSpacing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</w:p>
    <w:p w:rsidR="00B55A07" w:rsidRDefault="00B55A07" w:rsidP="00BB0631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55A07" w:rsidRDefault="00B55A07" w:rsidP="00BB0631">
      <w:pPr>
        <w:pStyle w:val="NoSpacing"/>
      </w:pPr>
    </w:p>
    <w:p w:rsidR="00B55A07" w:rsidRDefault="00B55A07" w:rsidP="00BB0631">
      <w:pPr>
        <w:pStyle w:val="NoSpacing"/>
      </w:pPr>
      <w:r>
        <w:t xml:space="preserve">Please note that all Medication reports must be submitted to Manager of Clinical Systems at the end of each month. </w:t>
      </w:r>
    </w:p>
    <w:sectPr w:rsidR="00B55A07" w:rsidSect="00B55A07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331"/>
    <w:multiLevelType w:val="hybridMultilevel"/>
    <w:tmpl w:val="282A1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02A8D"/>
    <w:multiLevelType w:val="hybridMultilevel"/>
    <w:tmpl w:val="171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E07C3"/>
    <w:multiLevelType w:val="hybridMultilevel"/>
    <w:tmpl w:val="F12A9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DB6BAC"/>
    <w:multiLevelType w:val="hybridMultilevel"/>
    <w:tmpl w:val="0810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9A"/>
    <w:rsid w:val="00070171"/>
    <w:rsid w:val="0013799A"/>
    <w:rsid w:val="00B55A07"/>
    <w:rsid w:val="00BB0631"/>
    <w:rsid w:val="00E1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99A"/>
    <w:pPr>
      <w:ind w:left="720"/>
      <w:contextualSpacing/>
    </w:pPr>
  </w:style>
  <w:style w:type="paragraph" w:styleId="NoSpacing">
    <w:name w:val="No Spacing"/>
    <w:uiPriority w:val="1"/>
    <w:qFormat/>
    <w:rsid w:val="00BB0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99A"/>
    <w:pPr>
      <w:ind w:left="720"/>
      <w:contextualSpacing/>
    </w:pPr>
  </w:style>
  <w:style w:type="paragraph" w:styleId="NoSpacing">
    <w:name w:val="No Spacing"/>
    <w:uiPriority w:val="1"/>
    <w:qFormat/>
    <w:rsid w:val="00BB0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Medical Center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Powers</dc:creator>
  <cp:lastModifiedBy>Karla Powers</cp:lastModifiedBy>
  <cp:revision>2</cp:revision>
  <dcterms:created xsi:type="dcterms:W3CDTF">2017-04-10T19:08:00Z</dcterms:created>
  <dcterms:modified xsi:type="dcterms:W3CDTF">2017-04-10T19:32:00Z</dcterms:modified>
</cp:coreProperties>
</file>