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r>
        <w:object w:dxaOrig="2894" w:dyaOrig="1980">
          <v:rect xmlns:o="urn:schemas-microsoft-com:office:office" xmlns:v="urn:schemas-microsoft-com:vml" id="rectole0000000000" style="width:144.700000pt;height:99.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Amy Pease </w:t>
      </w:r>
      <w:r>
        <w:rPr>
          <w:rFonts w:ascii="Calibri" w:hAnsi="Calibri" w:cs="Calibri" w:eastAsia="Calibri"/>
          <w:color w:val="auto"/>
          <w:spacing w:val="0"/>
          <w:position w:val="0"/>
          <w:sz w:val="22"/>
          <w:shd w:fill="auto" w:val="clear"/>
        </w:rPr>
        <w:t xml:space="preserve">is the Owner of A.G. Pease, RN Consulting PLLC. She spent over 15 years working in an Article 28 Diagnostic and Treatment Center, mostly within the Primary Care Clinic. She spent almost 7 of these years on the business side of the operations working with dental, pharmacy, behavioral health and medical lines of business. She was instrumental in getting one of the organization’s school-based health centers opened and assisted with sustainability of the other SBHC site.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Amy received her Associates of Applied Science in Nursing in 1998 from Jamestown Community College and went on to pursue her Masters of Arts in Social Policy with a concentration in Healthcare Administration from Empire State College in 2008.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